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15C29604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TEFAL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VASALÓT VAGY GŐZÁLLOMÁST,</w:t>
      </w:r>
    </w:p>
    <w:p w14:paraId="15C2D3B2" w14:textId="43FE9FD4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TEFAL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TEXTILBOROTVÁT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688BB21D" w:rsidR="0011227B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D62FE5">
        <w:rPr>
          <w:rFonts w:ascii="Garamond" w:hAnsi="Garamond"/>
          <w:color w:val="000000" w:themeColor="text1"/>
        </w:rPr>
        <w:t xml:space="preserve"> </w:t>
      </w:r>
      <w:r w:rsidR="00BE7B56">
        <w:rPr>
          <w:rFonts w:ascii="Garamond" w:hAnsi="Garamond"/>
          <w:color w:val="000000" w:themeColor="text1"/>
        </w:rPr>
        <w:t>1 darab</w:t>
      </w:r>
      <w:r w:rsidR="00455CCC">
        <w:rPr>
          <w:rFonts w:ascii="Garamond" w:hAnsi="Garamond"/>
          <w:color w:val="000000" w:themeColor="text1"/>
        </w:rPr>
        <w:t xml:space="preserve"> Tefal </w:t>
      </w:r>
      <w:r w:rsidR="00BE7B56">
        <w:rPr>
          <w:rFonts w:ascii="Garamond" w:hAnsi="Garamond"/>
          <w:color w:val="000000" w:themeColor="text1"/>
        </w:rPr>
        <w:t>vasalót vagy gőzállomást</w:t>
      </w:r>
      <w:r w:rsidR="00455CCC">
        <w:rPr>
          <w:rFonts w:ascii="Garamond" w:hAnsi="Garamond"/>
          <w:color w:val="000000" w:themeColor="text1"/>
        </w:rPr>
        <w:t xml:space="preserve"> és ajándékba kapsz egy Tefal </w:t>
      </w:r>
      <w:r w:rsidR="00BE7B56">
        <w:rPr>
          <w:rFonts w:ascii="Garamond" w:hAnsi="Garamond"/>
          <w:color w:val="000000" w:themeColor="text1"/>
        </w:rPr>
        <w:t>textilborotvát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523CFBD8" w14:textId="08966A3C" w:rsidR="00C104C5" w:rsidRDefault="00C104C5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18E5F2F6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vasalót vagy gőzállomást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0CFF5683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VASALÓ VAGY GŐZÁLLOMÁS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textilborotva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6E78509A" w:rsidR="00DA664E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július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01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</w:t>
      </w:r>
      <w:r w:rsidR="001D1D7A">
        <w:rPr>
          <w:rFonts w:ascii="Garamond" w:eastAsia="Times New Roman" w:hAnsi="Garamond" w:cs="Times New Roman"/>
          <w:b/>
          <w:bCs/>
          <w:color w:val="000000" w:themeColor="text1"/>
        </w:rPr>
        <w:t xml:space="preserve">1.március 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3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D63F3">
        <w:rPr>
          <w:rFonts w:ascii="Garamond" w:hAnsi="Garamond"/>
          <w:color w:val="000000"/>
        </w:rPr>
        <w:t>A Promócióban kizárólag csak a 2020. július 01. napjától 202</w:t>
      </w:r>
      <w:r w:rsidR="001D1D7A">
        <w:rPr>
          <w:rFonts w:ascii="Garamond" w:hAnsi="Garamond"/>
          <w:color w:val="000000"/>
        </w:rPr>
        <w:t>1</w:t>
      </w:r>
      <w:r w:rsidR="003D63F3">
        <w:rPr>
          <w:rFonts w:ascii="Garamond" w:hAnsi="Garamond"/>
          <w:color w:val="000000"/>
        </w:rPr>
        <w:t xml:space="preserve">. </w:t>
      </w:r>
      <w:r w:rsidR="001D1D7A">
        <w:rPr>
          <w:rFonts w:ascii="Garamond" w:hAnsi="Garamond"/>
          <w:color w:val="000000"/>
        </w:rPr>
        <w:t>március</w:t>
      </w:r>
      <w:r w:rsidR="003D63F3">
        <w:rPr>
          <w:rFonts w:ascii="Garamond" w:hAnsi="Garamond"/>
          <w:color w:val="000000"/>
        </w:rPr>
        <w:t xml:space="preserve"> 31.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1D1D7A">
        <w:rPr>
          <w:rFonts w:ascii="Garamond" w:eastAsia="Times New Roman" w:hAnsi="Garamond" w:cs="Times New Roman"/>
          <w:color w:val="000000" w:themeColor="text1"/>
        </w:rPr>
        <w:t>április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BE7B56">
        <w:rPr>
          <w:rFonts w:ascii="Garamond" w:eastAsia="Times New Roman" w:hAnsi="Garamond" w:cs="Times New Roman"/>
          <w:color w:val="000000" w:themeColor="text1"/>
        </w:rPr>
        <w:t>5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62ABA29F" w14:textId="3AFF587F" w:rsidR="00DA664E" w:rsidRDefault="00DA664E" w:rsidP="003D63F3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0F2E690" w14:textId="7856580E" w:rsidR="006C5BAA" w:rsidRPr="006C5BAA" w:rsidRDefault="006C5BAA" w:rsidP="006C5B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6906E5D6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 xml:space="preserve">TEFAL </w:t>
      </w:r>
      <w:r w:rsidR="00BE7B56">
        <w:rPr>
          <w:rFonts w:ascii="Garamond" w:hAnsi="Garamond"/>
          <w:color w:val="000000" w:themeColor="text1"/>
        </w:rPr>
        <w:t>Vasalókkal és Gőzállomásokkal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213D0388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1D1D7A">
        <w:rPr>
          <w:rFonts w:ascii="Garamond" w:eastAsia="Times New Roman" w:hAnsi="Garamond" w:cs="Times New Roman"/>
          <w:color w:val="000000" w:themeColor="text1"/>
          <w:lang w:eastAsia="hu-HU"/>
        </w:rPr>
        <w:t>április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0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>ban, a jogi személy nevére kiállított szám</w:t>
      </w:r>
      <w:bookmarkStart w:id="1" w:name="_GoBack"/>
      <w:bookmarkEnd w:id="1"/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0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610C6A9" w14:textId="45379E3C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18507C97" w14:textId="29FD24DB" w:rsidR="00FD74DC" w:rsidRDefault="005F438A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5F438A">
        <w:rPr>
          <w:rFonts w:ascii="Garamond" w:eastAsia="Times New Roman" w:hAnsi="Garamond" w:cs="Calibri"/>
          <w:color w:val="000000" w:themeColor="text1"/>
          <w:lang w:eastAsia="hu-HU"/>
        </w:rPr>
        <w:t>Tefal textilborotva - JA1011D1</w:t>
      </w: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71AE056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p w14:paraId="7D1CF8E3" w14:textId="77777777" w:rsidR="00ED58AA" w:rsidRDefault="00ED58AA" w:rsidP="00ED58AA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5B851EC4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CFA1A40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41CDC2F2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DBC9283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lastRenderedPageBreak/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F438A" w:rsidRPr="005F438A" w14:paraId="2BE11FE3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153BA2CC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GV9620E0,PRO EXPRESS ULTIMATE+</w:t>
            </w:r>
          </w:p>
        </w:tc>
      </w:tr>
      <w:tr w:rsidR="005F438A" w:rsidRPr="005F438A" w14:paraId="35EBBF36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76910EA5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 xml:space="preserve">GV9610E0,PRO EXPRESS ULTIMATE </w:t>
            </w:r>
          </w:p>
        </w:tc>
      </w:tr>
      <w:tr w:rsidR="005F438A" w:rsidRPr="005F438A" w14:paraId="6F1AAF81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30134A6B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GV9591E0,ProExpress Ultimate Protect kék 8 bars</w:t>
            </w:r>
          </w:p>
        </w:tc>
      </w:tr>
      <w:tr w:rsidR="005F438A" w:rsidRPr="005F438A" w14:paraId="3F064ECA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6DCBD063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GV9581E0,ProExpress Ultimate sárga 8 bars</w:t>
            </w:r>
          </w:p>
        </w:tc>
      </w:tr>
      <w:tr w:rsidR="005F438A" w:rsidRPr="005F438A" w14:paraId="368F559F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700979B7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GV9580E0,ProExpress Ultimate kék 8 bars</w:t>
            </w:r>
          </w:p>
        </w:tc>
      </w:tr>
      <w:tr w:rsidR="005F438A" w:rsidRPr="005F438A" w14:paraId="79D4999E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33D47D38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GV9571E0,ProExpress Ultimate lila 7,8 bars</w:t>
            </w:r>
          </w:p>
        </w:tc>
      </w:tr>
      <w:tr w:rsidR="005F438A" w:rsidRPr="005F438A" w14:paraId="2C81A5A5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6C163F27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GV9570E0,ProExpress Ultimate kék 7,8 bars</w:t>
            </w:r>
          </w:p>
        </w:tc>
      </w:tr>
      <w:tr w:rsidR="005F438A" w:rsidRPr="005F438A" w14:paraId="4A25B90B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04BC62C4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GV9565E0,ProExpress Ultimate világoskék 7,7 bars</w:t>
            </w:r>
          </w:p>
        </w:tc>
      </w:tr>
      <w:tr w:rsidR="005F438A" w:rsidRPr="005F438A" w14:paraId="2D19D774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2438AB8C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GV9563E0,ProExpress Ultimate világoskék 7,5 bars</w:t>
            </w:r>
          </w:p>
        </w:tc>
      </w:tr>
      <w:tr w:rsidR="005F438A" w:rsidRPr="005F438A" w14:paraId="53FB1AA3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536B3C74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GV9221E0,STEAM STATION PRO EXPRESS PROTECT</w:t>
            </w:r>
          </w:p>
        </w:tc>
      </w:tr>
      <w:tr w:rsidR="005F438A" w:rsidRPr="005F438A" w14:paraId="38941EB9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6339B9A7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GV9220E0,STEAM STATION PRO EXPRESS PROTECT</w:t>
            </w:r>
          </w:p>
        </w:tc>
      </w:tr>
      <w:tr w:rsidR="005F438A" w:rsidRPr="005F438A" w14:paraId="27CD4A7F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256B7DFE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GV9080E0,Pro Express X-pert Care 80 (Protect)</w:t>
            </w:r>
          </w:p>
        </w:tc>
      </w:tr>
      <w:tr w:rsidR="005F438A" w:rsidRPr="005F438A" w14:paraId="3668A638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09AFC015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GV9550E0,Pro Express Ultimate</w:t>
            </w:r>
          </w:p>
        </w:tc>
      </w:tr>
      <w:tr w:rsidR="005F438A" w:rsidRPr="005F438A" w14:paraId="6B4514F0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67BD7BD9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GV9071E0,Pro Express X-Pert Care 71</w:t>
            </w:r>
          </w:p>
        </w:tc>
      </w:tr>
      <w:tr w:rsidR="005F438A" w:rsidRPr="005F438A" w14:paraId="62266463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5441249C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GV9060E0,Pro Express Care 60</w:t>
            </w:r>
          </w:p>
        </w:tc>
      </w:tr>
      <w:tr w:rsidR="005F438A" w:rsidRPr="005F438A" w14:paraId="18ECB0CE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75E6237F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FV9865E0,ULTIMATE PURE FV9865E0</w:t>
            </w:r>
          </w:p>
        </w:tc>
      </w:tr>
      <w:tr w:rsidR="005F438A" w:rsidRPr="005F438A" w14:paraId="1489A444" w14:textId="77777777" w:rsidTr="005F438A">
        <w:trPr>
          <w:trHeight w:val="290"/>
        </w:trPr>
        <w:tc>
          <w:tcPr>
            <w:tcW w:w="6374" w:type="dxa"/>
            <w:noWrap/>
            <w:hideMark/>
          </w:tcPr>
          <w:p w14:paraId="4B479771" w14:textId="77777777" w:rsidR="005F438A" w:rsidRPr="005F438A" w:rsidRDefault="005F438A" w:rsidP="005F438A">
            <w:pPr>
              <w:pStyle w:val="NormalWeb"/>
              <w:spacing w:after="0"/>
              <w:jc w:val="both"/>
              <w:rPr>
                <w:rFonts w:ascii="Garamond" w:hAnsi="Garamond"/>
                <w:color w:val="000000" w:themeColor="text1"/>
              </w:rPr>
            </w:pPr>
            <w:r w:rsidRPr="005F438A">
              <w:rPr>
                <w:rFonts w:ascii="Garamond" w:hAnsi="Garamond"/>
                <w:color w:val="000000" w:themeColor="text1"/>
              </w:rPr>
              <w:t>FV9834E0,Ultimate Pure FV9834E0</w:t>
            </w:r>
          </w:p>
        </w:tc>
      </w:tr>
    </w:tbl>
    <w:p w14:paraId="65021986" w14:textId="1C9A076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lastRenderedPageBreak/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9F1BD07" w14:textId="2E41A313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19D5F6" w14:textId="1FF3924B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264C017" w14:textId="77777777" w:rsidR="00D34981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VASALÓT VAGY GŐZÁLLOMÁST,</w:t>
      </w:r>
    </w:p>
    <w:p w14:paraId="1E2A393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TEFAL TEXTILBOROTVÁT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4C0E470" w14:textId="77777777" w:rsidR="00D34981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VASALÓT VAGY GŐZÁLLOMÁST,</w:t>
      </w:r>
    </w:p>
    <w:p w14:paraId="2708988C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TEFAL TEXTILBOROTVÁT</w:t>
      </w:r>
      <w:r w:rsidRPr="00DD139E">
        <w:rPr>
          <w:rFonts w:ascii="Garamond" w:hAnsi="Garamond"/>
          <w:color w:val="000000" w:themeColor="text1"/>
        </w:rPr>
        <w:t xml:space="preserve">”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2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2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7777777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DCFD" w14:textId="77777777" w:rsidR="00D248DB" w:rsidRDefault="00D248DB" w:rsidP="00D44C8F">
      <w:pPr>
        <w:spacing w:after="0" w:line="240" w:lineRule="auto"/>
      </w:pPr>
      <w:r>
        <w:separator/>
      </w:r>
    </w:p>
  </w:endnote>
  <w:endnote w:type="continuationSeparator" w:id="0">
    <w:p w14:paraId="5AB98059" w14:textId="77777777" w:rsidR="00D248DB" w:rsidRDefault="00D248DB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2560" w14:textId="77777777" w:rsidR="00D248DB" w:rsidRDefault="00D248DB" w:rsidP="00D44C8F">
      <w:pPr>
        <w:spacing w:after="0" w:line="240" w:lineRule="auto"/>
      </w:pPr>
      <w:r>
        <w:separator/>
      </w:r>
    </w:p>
  </w:footnote>
  <w:footnote w:type="continuationSeparator" w:id="0">
    <w:p w14:paraId="4B2ED2B3" w14:textId="77777777" w:rsidR="00D248DB" w:rsidRDefault="00D248DB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D1D7A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63F3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5F438A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C5BAA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2304"/>
    <w:rsid w:val="007C37D7"/>
    <w:rsid w:val="007D7185"/>
    <w:rsid w:val="007E4B76"/>
    <w:rsid w:val="007F3563"/>
    <w:rsid w:val="00801C2B"/>
    <w:rsid w:val="00811A0C"/>
    <w:rsid w:val="008249EE"/>
    <w:rsid w:val="00832EB8"/>
    <w:rsid w:val="008364DB"/>
    <w:rsid w:val="008530A1"/>
    <w:rsid w:val="008638D4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04C5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48DB"/>
    <w:rsid w:val="00D26320"/>
    <w:rsid w:val="00D33BE1"/>
    <w:rsid w:val="00D34981"/>
    <w:rsid w:val="00D43E5D"/>
    <w:rsid w:val="00D441C9"/>
    <w:rsid w:val="00D44C8F"/>
    <w:rsid w:val="00D45D2A"/>
    <w:rsid w:val="00D56772"/>
    <w:rsid w:val="00D62FE5"/>
    <w:rsid w:val="00D7234B"/>
    <w:rsid w:val="00D76ED2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58AA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BD612-8DA7-41B4-9809-B493F332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2617</Words>
  <Characters>18059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2</cp:revision>
  <dcterms:created xsi:type="dcterms:W3CDTF">2021-01-04T08:39:00Z</dcterms:created>
  <dcterms:modified xsi:type="dcterms:W3CDTF">2021-01-04T08:39:00Z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